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44"/>
    <w:p>
      <w:pPr>
        <w:pStyle w:val="Heading1"/>
      </w:pPr>
      <w:r>
        <w:t xml:space="preserve">Homiletics Analysis: Jeremiah 44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44 records the final confrontation between the prophet Jeremiah and the Jewish remnant that has fled to Egypt following the fall of Jerusalem and the assassination of Gedaliah. The chapter opens with Jeremiah delivering a sweeping indictment: the people of Judah have done in Egypt exactly what their fathers did in Judah and Jerusalem — they have burned incense to other gods. The LORD catalogs the disaster that followed that idolatry: the desolation of Jerusalem, the emptying of the cities of Judah, the fulfillment of every threatened calamity. The charge is not merely that they sinned but that they sinned knowing full well what had happened, having witnessed the ruin with their own eyes, and still drew no lesson from it. Despite repeated warnings from the prophets — warnings sent persistently, urgently, and ignored completely — the people in Egypt now openly recommit to the Queen of Heaven, the Babylonian-Assyrian fertility goddess whose worship they had practiced for generations. The women speak candidly: we made these vows, we burned this incense, and everything went well when we did; it was only when we stopped that disaster came. The men stand with them. Jeremiah answers with surgical precision: the disaster came</w:t>
      </w:r>
      <w:r>
        <w:t xml:space="preserve"> </w:t>
      </w:r>
      <w:r>
        <w:rPr>
          <w:i/>
          <w:iCs/>
        </w:rPr>
        <w:t xml:space="preserve">because</w:t>
      </w:r>
      <w:r>
        <w:t xml:space="preserve"> </w:t>
      </w:r>
      <w:r>
        <w:t xml:space="preserve">of the Queen of Heaven worship, not in spite of stopping it. The chapter closes with a stunning announcement — the LORD will watch over Egypt for harm and not for good; Pharaoh Hophra will fall; and the few survivors of this remnant will be consumed in Egypt, leaving only a handful who escape the sword to return to the land.</w:t>
      </w:r>
    </w:p>
    <w:p>
      <w:pPr>
        <w:pStyle w:val="BodyText"/>
      </w:pPr>
      <w:r>
        <w:rPr>
          <w:b/>
          <w:bCs/>
        </w:rPr>
        <w:t xml:space="preserve">This Text — Intent</w:t>
      </w:r>
    </w:p>
    <w:p>
      <w:pPr>
        <w:pStyle w:val="BodyText"/>
      </w:pPr>
      <w:r>
        <w:t xml:space="preserve">God is confronting a people who have systematically inverted cause and effect in their spiritual lives — who have attributed their blessing to idolatry and their suffering to faithfulness — and calling them to account one final time before the door of mercy closes. The intent is not primarily to inform the reader about Judah’s final failure but to produce sobriety, self-examination, and fear of the LORD in anyone who has ever rationalized persistent sin by invoking apparent blessing. God is demonstrating through this passage that the human heart’s capacity for self-deception is total: these people witnessed the destruction of Jerusalem, heard the prophets, knew the covenant, and still emerged from that catastrophe with their idolatry intact and their theology inverted. The effect God seeks is that the reader would recognize this same capacity in themselves — and be moved to abandon every rationalization that interposes between them and full covenant fidelity.</w:t>
      </w:r>
    </w:p>
    <w:p>
      <w:r>
        <w:pict>
          <v:rect style="width:0;height:1.5pt" o:hralign="center" o:hrstd="t" o:hr="t"/>
        </w:pict>
      </w:r>
    </w:p>
    <w:p>
      <w:pPr>
        <w:pStyle w:val="FirstParagraph"/>
      </w:pPr>
      <w:r>
        <w:rPr>
          <w:b/>
          <w:bCs/>
        </w:rPr>
        <w:t xml:space="preserve">Subject Sentence:</w:t>
      </w:r>
      <w:r>
        <w:t xml:space="preserve"> </w:t>
      </w:r>
      <w:r>
        <w:t xml:space="preserve">Final reckoning — Judah’s remnant in Egypt chooses idolatry over the LORD and is given over to the consequences.</w:t>
      </w:r>
    </w:p>
    <w:p>
      <w:r>
        <w:pict>
          <v:rect style="width:0;height:1.5pt" o:hralign="center" o:hrstd="t" o:hr="t"/>
        </w:pict>
      </w:r>
    </w:p>
    <w:p>
      <w:pPr>
        <w:pStyle w:val="FirstParagraph"/>
      </w:pPr>
      <w:r>
        <w:rPr>
          <w:b/>
          <w:bCs/>
        </w:rPr>
        <w:t xml:space="preserve">Primary Claim:</w:t>
      </w:r>
      <w:r>
        <w:t xml:space="preserve"> </w:t>
      </w:r>
      <w:r>
        <w:t xml:space="preserve">God will not share His people with rivals indefinitely — those who persistently invert blessing and judgment to protect their idols will eventually be handed over to the very destruction they have tried to evade, and no rationalization will survive the verdict.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Women’s Speech and the Queen of Heaven (vv. 15–19)</w:t>
      </w:r>
    </w:p>
    <w:p>
      <w:pPr>
        <w:pStyle w:val="BodyText"/>
      </w:pPr>
      <w:r>
        <w:t xml:space="preserve">The most interpretively contested section of the chapter is the women’s defense of Queen of Heaven worship in verses 15–19. Several readings compete here. A moralistic reading treats the women simply as foolish and sinful, emphasizing their stubbornness and moving quickly to the judgment — but this misses the more disturbing feature of the text: their argument is internally coherent given their framework. A prosperity-theology adjacent reading of the passage treats their claim as a straightforward superstition easily corrected by better information. Neither adequately reckons with the text’s own assessment.</w:t>
      </w:r>
    </w:p>
    <w:p>
      <w:pPr>
        <w:pStyle w:val="BodyText"/>
      </w:pPr>
      <w:r>
        <w:t xml:space="preserve">The Reformed reading identifies something more theologically precise: the women are not merely wrong — they have constructed a theology of blessing that systematically excludes the living God. Their argument (we prospered while worshiping, we suffered when we stopped) is the ancient version of every</w:t>
      </w:r>
      <w:r>
        <w:t xml:space="preserve"> </w:t>
      </w:r>
      <w:r>
        <w:t xml:space="preserve">“results-based”</w:t>
      </w:r>
      <w:r>
        <w:t xml:space="preserve"> </w:t>
      </w:r>
      <w:r>
        <w:t xml:space="preserve">spirituality. It treats experience as the ultimate authority over revelation. Jeremiah’s counter-argument is not primarily experiential (he does not argue</w:t>
      </w:r>
      <w:r>
        <w:t xml:space="preserve"> </w:t>
      </w:r>
      <w:r>
        <w:t xml:space="preserve">“actually your experience was different”</w:t>
      </w:r>
      <w:r>
        <w:t xml:space="preserve">) but revelatory and covenantal: the LORD declared the cause of judgment through His prophets, and that declaration is authoritative regardless of what experience appears to say. The Reformed reading is preferred because it takes seriously the epistemic dimension of the confrontation — this is not a disagreement about facts but about which source of authority governs interpretation of facts.</w:t>
      </w:r>
    </w:p>
    <w:p>
      <w:pPr>
        <w:pStyle w:val="BodyText"/>
      </w:pPr>
      <w:r>
        <w:rPr>
          <w:b/>
          <w:bCs/>
        </w:rPr>
        <w:t xml:space="preserve">The</w:t>
      </w:r>
      <w:r>
        <w:rPr>
          <w:b/>
          <w:bCs/>
        </w:rPr>
        <w:t xml:space="preserve"> </w:t>
      </w:r>
      <w:r>
        <w:rPr>
          <w:b/>
          <w:bCs/>
        </w:rPr>
        <w:t xml:space="preserve">“Remnant”</w:t>
      </w:r>
      <w:r>
        <w:rPr>
          <w:b/>
          <w:bCs/>
        </w:rPr>
        <w:t xml:space="preserve"> </w:t>
      </w:r>
      <w:r>
        <w:rPr>
          <w:b/>
          <w:bCs/>
        </w:rPr>
        <w:t xml:space="preserve">and Questions of Covenant Continuity</w:t>
      </w:r>
    </w:p>
    <w:p>
      <w:pPr>
        <w:pStyle w:val="BodyText"/>
      </w:pPr>
      <w:r>
        <w:t xml:space="preserve">Dispensational readings sometimes treat this chapter as primarily a prophecy about Israel’s national future, reading the</w:t>
      </w:r>
      <w:r>
        <w:t xml:space="preserve"> </w:t>
      </w:r>
      <w:r>
        <w:t xml:space="preserve">“small number who escape the sword”</w:t>
      </w:r>
      <w:r>
        <w:t xml:space="preserve"> </w:t>
      </w:r>
      <w:r>
        <w:t xml:space="preserve">(v. 28) as a preserved remnant with future redemptive-historical significance. While the remnant theme is genuinely present in Jeremiah (see 23:3; 31:7), the function of the remnant here is not preservation for restoration but witness to judgment — they return not as a restored people but as those who</w:t>
      </w:r>
      <w:r>
        <w:t xml:space="preserve"> </w:t>
      </w:r>
      <w:r>
        <w:t xml:space="preserve">“will know whose word will stand”</w:t>
      </w:r>
      <w:r>
        <w:t xml:space="preserve"> </w:t>
      </w:r>
      <w:r>
        <w:t xml:space="preserve">(v. 28). The text offers no promise of restoration for this group. The Reformed reading acknowledges the remnant theology of Jeremiah as a whole while insisting that chapter 44’s remnant serves a forensic rather than a redemptive function: they will know that God’s word is true, but that knowledge comes as verdict, not as restoration.</w:t>
      </w:r>
    </w:p>
    <w:p>
      <w:pPr>
        <w:pStyle w:val="BodyText"/>
      </w:pPr>
      <w:r>
        <w:rPr>
          <w:b/>
          <w:bCs/>
        </w:rPr>
        <w:t xml:space="preserve">Arminian/Wesleyan Readings on Human Responsibility</w:t>
      </w:r>
    </w:p>
    <w:p>
      <w:pPr>
        <w:pStyle w:val="BodyText"/>
      </w:pPr>
      <w:r>
        <w:t xml:space="preserve">Wesleyan and Arminian readers rightly emphasize the genuine human responsibility on display throughout this chapter — the people chose, repeatedly and consciously, to persist in idolatry. This emphasis is worth retaining and is fully supported by the text. The chapter is remarkable for the explicitness of the people’s rebellion: they are not confused or ignorant; they are defiant (vv. 16–17). Where the Arminian reading tends to overreach is in treating this as primarily a call to better decision-making, as though the problem is insufficient resolve. The Reformed reading sees something more systemic: the people’s defiance is itself a fruit of judicial hardening — they have been given over (see Romans 1:24–28 for the Pauline parallel) to the very idolatry that was destroying them. The solution is not more information or stronger will but the regenerating work of God — a theme Jeremiah himself articulates in the new covenant passage of chapter 31.</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Moses announced anticipate exactly the trajectory Jeremiah 44 describes: persistent idolatry leading to exile, desolation, and consumption in foreign lands; the people of Egypt are living inside the covenant curse structure announced centuries earlier.</w:t>
      </w:r>
    </w:p>
    <w:p>
      <w:pPr>
        <w:numPr>
          <w:ilvl w:val="0"/>
          <w:numId w:val="1001"/>
        </w:numPr>
      </w:pPr>
      <w:r>
        <w:rPr>
          <w:b/>
          <w:bCs/>
        </w:rPr>
        <w:t xml:space="preserve">Romans 1:18–32</w:t>
      </w:r>
      <w:r>
        <w:t xml:space="preserve"> </w:t>
      </w:r>
      <w:r>
        <w:t xml:space="preserve">— Paul’s description of God</w:t>
      </w:r>
      <w:r>
        <w:t xml:space="preserve"> </w:t>
      </w:r>
      <w:r>
        <w:t xml:space="preserve">“giving over”</w:t>
      </w:r>
      <w:r>
        <w:t xml:space="preserve"> </w:t>
      </w:r>
      <w:r>
        <w:t xml:space="preserve">those who suppress the truth and exchange the Creator for idols is the New Testament theological parallel to Jeremiah 44’s dynamic; the inversion of cause and effect by the women in Egypt is precisely the</w:t>
      </w:r>
      <w:r>
        <w:t xml:space="preserve"> </w:t>
      </w:r>
      <w:r>
        <w:t xml:space="preserve">“exchanging the truth for a lie”</w:t>
      </w:r>
      <w:r>
        <w:t xml:space="preserve"> </w:t>
      </w:r>
      <w:r>
        <w:t xml:space="preserve">Paul describes.</w:t>
      </w:r>
    </w:p>
    <w:p>
      <w:pPr>
        <w:numPr>
          <w:ilvl w:val="0"/>
          <w:numId w:val="1001"/>
        </w:numPr>
      </w:pPr>
      <w:r>
        <w:rPr>
          <w:b/>
          <w:bCs/>
        </w:rPr>
        <w:t xml:space="preserve">Jeremiah 31:31–34</w:t>
      </w:r>
      <w:r>
        <w:t xml:space="preserve"> </w:t>
      </w:r>
      <w:r>
        <w:t xml:space="preserve">— The new covenant passage, in the same book, provides the theological answer to Jeremiah 44’s diagnosis: the problem is not bad information but hard hearts; the solution is not better laws but the law written on the heart by the Spirit of God — what the people of Egypt could not produce, God promises to accomplish in His people.</w:t>
      </w:r>
    </w:p>
    <w:p>
      <w:pPr>
        <w:numPr>
          <w:ilvl w:val="0"/>
          <w:numId w:val="1001"/>
        </w:numPr>
      </w:pPr>
      <w:r>
        <w:rPr>
          <w:b/>
          <w:bCs/>
        </w:rPr>
        <w:t xml:space="preserve">Ezekiel 20:1–44</w:t>
      </w:r>
      <w:r>
        <w:t xml:space="preserve"> </w:t>
      </w:r>
      <w:r>
        <w:t xml:space="preserve">— Ezekiel’s historical survey of Israel’s persistent idolatry from Egypt onward provides a canonical parallel: the people’s pattern of worshiping the gods of the nations they sojourned among goes back to their first sojourn in Egypt, and returning to Egypt in Jeremiah 44 is thus a tragic symmetry — they end where they began.</w:t>
      </w:r>
    </w:p>
    <w:p>
      <w:pPr>
        <w:numPr>
          <w:ilvl w:val="0"/>
          <w:numId w:val="1001"/>
        </w:numPr>
      </w:pPr>
      <w:r>
        <w:rPr>
          <w:b/>
          <w:bCs/>
        </w:rPr>
        <w:t xml:space="preserve">Hebrews 3:7–19</w:t>
      </w:r>
      <w:r>
        <w:t xml:space="preserve"> </w:t>
      </w:r>
      <w:r>
        <w:t xml:space="preserve">— The warning against hardening the heart in the face of God’s word, citing the wilderness generation, provides the New Testament homiletical frame for Jeremiah 44’s pastoral burden:</w:t>
      </w:r>
      <w:r>
        <w:t xml:space="preserve"> </w:t>
      </w:r>
      <w:r>
        <w:t xml:space="preserve">“Today, if you hear his voice, do not harden your hearts”</w:t>
      </w:r>
      <w:r>
        <w:t xml:space="preserve"> </w:t>
      </w:r>
      <w:r>
        <w:t xml:space="preserve">— the people of Egypt heard; they hardened; they perished.</w:t>
      </w:r>
    </w:p>
    <w:p>
      <w:r>
        <w:pict>
          <v:rect style="width:0;height:1.5pt" o:hralign="center" o:hrstd="t" o:hr="t"/>
        </w:pict>
      </w:r>
    </w:p>
    <w:p>
      <w:pPr>
        <w:pStyle w:val="FirstParagraph"/>
      </w:pPr>
      <w:r>
        <w:rPr>
          <w:b/>
          <w:bCs/>
        </w:rPr>
        <w:t xml:space="preserve">Aim:</w:t>
      </w:r>
      <w:r>
        <w:t xml:space="preserve"> </w:t>
      </w:r>
      <w:r>
        <w:t xml:space="preserve">To awaken the reader to the danger of any theology — however internally coherent — that inverts God’s revealed Word in favor of the evidence of experience, and to produce a sober return to covenant fidelity before the door of mercy closes.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Setting: Jeremiah addresses all the Jews in Egypt — Migdol, Tahpanhes, Memphis, and the Pathros region</w:t>
            </w:r>
          </w:p>
        </w:tc>
        <w:tc>
          <w:tcPr/>
          <w:p>
            <w:pPr>
              <w:pStyle w:val="Compact"/>
            </w:pPr>
            <w:r>
              <w:t xml:space="preserve">Geographic breadth emphasizes this is a comprehensive remnant, not a small group</w:t>
            </w:r>
          </w:p>
        </w:tc>
      </w:tr>
      <w:tr>
        <w:tc>
          <w:tcPr/>
          <w:p>
            <w:pPr>
              <w:pStyle w:val="Compact"/>
            </w:pPr>
            <w:r>
              <w:t xml:space="preserve">2–6</w:t>
            </w:r>
          </w:p>
        </w:tc>
        <w:tc>
          <w:tcPr/>
          <w:p>
            <w:pPr>
              <w:pStyle w:val="Compact"/>
            </w:pPr>
            <w:r>
              <w:t xml:space="preserve">The LORD’s indictment: Judah’s cities and Jerusalem are desolate because of idolatry; the disaster was announced but not heeded</w:t>
            </w:r>
          </w:p>
        </w:tc>
        <w:tc>
          <w:tcPr/>
          <w:p>
            <w:pPr>
              <w:pStyle w:val="Compact"/>
            </w:pPr>
            <w:r>
              <w:t xml:space="preserve">“I persistently sent”</w:t>
            </w:r>
            <w:r>
              <w:t xml:space="preserve"> </w:t>
            </w:r>
            <w:r>
              <w:t xml:space="preserve">(v. 4) — the repeated urgency of prophetic warning is part of the indictment</w:t>
            </w:r>
          </w:p>
        </w:tc>
      </w:tr>
      <w:tr>
        <w:tc>
          <w:tcPr/>
          <w:p>
            <w:pPr>
              <w:pStyle w:val="Compact"/>
            </w:pPr>
            <w:r>
              <w:t xml:space="preserve">7–8</w:t>
            </w:r>
          </w:p>
        </w:tc>
        <w:tc>
          <w:tcPr/>
          <w:p>
            <w:pPr>
              <w:pStyle w:val="Compact"/>
            </w:pPr>
            <w:r>
              <w:t xml:space="preserve">Rhetorical question: Why do you provoke me by burning incense to other gods in Egypt, cutting yourselves off?</w:t>
            </w:r>
          </w:p>
        </w:tc>
        <w:tc>
          <w:tcPr/>
          <w:p>
            <w:pPr>
              <w:pStyle w:val="Compact"/>
            </w:pPr>
            <w:r>
              <w:t xml:space="preserve">“Cutting yourselves off”</w:t>
            </w:r>
            <w:r>
              <w:t xml:space="preserve"> </w:t>
            </w:r>
            <w:r>
              <w:t xml:space="preserve">anticipates the judgment — they are doing this to themselves</w:t>
            </w:r>
          </w:p>
        </w:tc>
      </w:tr>
      <w:tr>
        <w:tc>
          <w:tcPr/>
          <w:p>
            <w:pPr>
              <w:pStyle w:val="Compact"/>
            </w:pPr>
            <w:r>
              <w:t xml:space="preserve">9–10</w:t>
            </w:r>
          </w:p>
        </w:tc>
        <w:tc>
          <w:tcPr/>
          <w:p>
            <w:pPr>
              <w:pStyle w:val="Compact"/>
            </w:pPr>
            <w:r>
              <w:t xml:space="preserve">The charge of forgetting: they have not remembered the wickedness of their fathers, kings, wives, their own wickedness and their wives’ wickedness</w:t>
            </w:r>
          </w:p>
        </w:tc>
        <w:tc>
          <w:tcPr/>
          <w:p>
            <w:pPr>
              <w:pStyle w:val="Compact"/>
            </w:pPr>
            <w:r>
              <w:t xml:space="preserve">The list is comprehensive — collective, dynastic, domestic</w:t>
            </w:r>
          </w:p>
        </w:tc>
      </w:tr>
      <w:tr>
        <w:tc>
          <w:tcPr/>
          <w:p>
            <w:pPr>
              <w:pStyle w:val="Compact"/>
            </w:pPr>
            <w:r>
              <w:t xml:space="preserve">11–14</w:t>
            </w:r>
          </w:p>
        </w:tc>
        <w:tc>
          <w:tcPr/>
          <w:p>
            <w:pPr>
              <w:pStyle w:val="Compact"/>
            </w:pPr>
            <w:r>
              <w:t xml:space="preserve">Judgment announced: the LORD will set His face against them for harm; all will be consumed; none will escape except a small remnant</w:t>
            </w:r>
          </w:p>
        </w:tc>
        <w:tc>
          <w:tcPr/>
          <w:p>
            <w:pPr>
              <w:pStyle w:val="Compact"/>
            </w:pPr>
            <w:r>
              <w:t xml:space="preserve">The comprehensiveness of the judgment mirrors the comprehensiveness of the rebellion</w:t>
            </w:r>
          </w:p>
        </w:tc>
      </w:tr>
      <w:tr>
        <w:tc>
          <w:tcPr/>
          <w:p>
            <w:pPr>
              <w:pStyle w:val="Compact"/>
            </w:pPr>
            <w:r>
              <w:t xml:space="preserve">15–16</w:t>
            </w:r>
          </w:p>
        </w:tc>
        <w:tc>
          <w:tcPr/>
          <w:p>
            <w:pPr>
              <w:pStyle w:val="Compact"/>
            </w:pPr>
            <w:r>
              <w:t xml:space="preserve">The people’s response: all who know their wives burned incense to the Queen of Heaven — we will not listen to you</w:t>
            </w:r>
          </w:p>
        </w:tc>
        <w:tc>
          <w:tcPr/>
          <w:p>
            <w:pPr>
              <w:pStyle w:val="Compact"/>
            </w:pPr>
            <w:r>
              <w:t xml:space="preserve">The defiance is explicit and collective; the men endorse the women’s practice</w:t>
            </w:r>
          </w:p>
        </w:tc>
      </w:tr>
      <w:tr>
        <w:tc>
          <w:tcPr/>
          <w:p>
            <w:pPr>
              <w:pStyle w:val="Compact"/>
            </w:pPr>
            <w:r>
              <w:t xml:space="preserve">17–18</w:t>
            </w:r>
          </w:p>
        </w:tc>
        <w:tc>
          <w:tcPr/>
          <w:p>
            <w:pPr>
              <w:pStyle w:val="Compact"/>
            </w:pPr>
            <w:r>
              <w:t xml:space="preserve">The women’s theological argument: we prospered when we burned incense; since we stopped, we have lacked everything</w:t>
            </w:r>
          </w:p>
        </w:tc>
        <w:tc>
          <w:tcPr/>
          <w:p>
            <w:pPr>
              <w:pStyle w:val="Compact"/>
            </w:pPr>
            <w:r>
              <w:t xml:space="preserve">This is the inversion of cause and effect — the theological core of the chapter</w:t>
            </w:r>
          </w:p>
        </w:tc>
      </w:tr>
      <w:tr>
        <w:tc>
          <w:tcPr/>
          <w:p>
            <w:pPr>
              <w:pStyle w:val="Compact"/>
            </w:pPr>
            <w:r>
              <w:t xml:space="preserve">19</w:t>
            </w:r>
          </w:p>
        </w:tc>
        <w:tc>
          <w:tcPr/>
          <w:p>
            <w:pPr>
              <w:pStyle w:val="Compact"/>
            </w:pPr>
            <w:r>
              <w:t xml:space="preserve">The women add: we burned incense to the Queen of Heaven with our husbands’ knowledge and approval</w:t>
            </w:r>
          </w:p>
        </w:tc>
        <w:tc>
          <w:tcPr/>
          <w:p>
            <w:pPr>
              <w:pStyle w:val="Compact"/>
            </w:pPr>
            <w:r>
              <w:t xml:space="preserve">Establishing shared culpability and the covenant household dimension</w:t>
            </w:r>
          </w:p>
        </w:tc>
      </w:tr>
      <w:tr>
        <w:tc>
          <w:tcPr/>
          <w:p>
            <w:pPr>
              <w:pStyle w:val="Compact"/>
            </w:pPr>
            <w:r>
              <w:t xml:space="preserve">20–23</w:t>
            </w:r>
          </w:p>
        </w:tc>
        <w:tc>
          <w:tcPr/>
          <w:p>
            <w:pPr>
              <w:pStyle w:val="Compact"/>
            </w:pPr>
            <w:r>
              <w:t xml:space="preserve">Jeremiah’s rebuttal: the LORD knows what you did; it is precisely because of the incense burning that disaster came; your fathers’ idolatry is the cause</w:t>
            </w:r>
          </w:p>
        </w:tc>
        <w:tc>
          <w:tcPr/>
          <w:p>
            <w:pPr>
              <w:pStyle w:val="Compact"/>
            </w:pPr>
            <w:r>
              <w:t xml:space="preserve">Jeremiah does not argue from experience but from revealed cause — the LORD’s word over against their interpretation</w:t>
            </w:r>
          </w:p>
        </w:tc>
      </w:tr>
      <w:tr>
        <w:tc>
          <w:tcPr/>
          <w:p>
            <w:pPr>
              <w:pStyle w:val="Compact"/>
            </w:pPr>
            <w:r>
              <w:t xml:space="preserve">24–25</w:t>
            </w:r>
          </w:p>
        </w:tc>
        <w:tc>
          <w:tcPr/>
          <w:p>
            <w:pPr>
              <w:pStyle w:val="Compact"/>
            </w:pPr>
            <w:r>
              <w:t xml:space="preserve">Jeremiah continues: you have kept your vows to the Queen of Heaven — then keep them and suffer their consequence</w:t>
            </w:r>
          </w:p>
        </w:tc>
        <w:tc>
          <w:tcPr/>
          <w:p>
            <w:pPr>
              <w:pStyle w:val="Compact"/>
            </w:pPr>
            <w:r>
              <w:t xml:space="preserve">Devastating irony —</w:t>
            </w:r>
            <w:r>
              <w:t xml:space="preserve"> </w:t>
            </w:r>
            <w:r>
              <w:t xml:space="preserve">“go ahead and fulfill your vows”</w:t>
            </w:r>
            <w:r>
              <w:t xml:space="preserve"> </w:t>
            </w:r>
            <w:r>
              <w:t xml:space="preserve">is judgment, not permission</w:t>
            </w:r>
          </w:p>
        </w:tc>
      </w:tr>
      <w:tr>
        <w:tc>
          <w:tcPr/>
          <w:p>
            <w:pPr>
              <w:pStyle w:val="Compact"/>
            </w:pPr>
            <w:r>
              <w:t xml:space="preserve">26–27</w:t>
            </w:r>
          </w:p>
        </w:tc>
        <w:tc>
          <w:tcPr/>
          <w:p>
            <w:pPr>
              <w:pStyle w:val="Compact"/>
            </w:pPr>
            <w:r>
              <w:t xml:space="preserve">The LORD’s oath: His name will not be invoked by any Judahite mouth in Egypt again; He watches over them for harm</w:t>
            </w:r>
          </w:p>
        </w:tc>
        <w:tc>
          <w:tcPr/>
          <w:p>
            <w:pPr>
              <w:pStyle w:val="Compact"/>
            </w:pPr>
            <w:r>
              <w:t xml:space="preserve">The covenant relationship is severed; the watching-over language (Jer. 1:12) is now inverted — watchful judgment, not watchful care</w:t>
            </w:r>
          </w:p>
        </w:tc>
      </w:tr>
      <w:tr>
        <w:tc>
          <w:tcPr/>
          <w:p>
            <w:pPr>
              <w:pStyle w:val="Compact"/>
            </w:pPr>
            <w:r>
              <w:t xml:space="preserve">28</w:t>
            </w:r>
          </w:p>
        </w:tc>
        <w:tc>
          <w:tcPr/>
          <w:p>
            <w:pPr>
              <w:pStyle w:val="Compact"/>
            </w:pPr>
            <w:r>
              <w:t xml:space="preserve">A small remnant escapes the sword and returns to Judah — they will know whose word stands</w:t>
            </w:r>
          </w:p>
        </w:tc>
        <w:tc>
          <w:tcPr/>
          <w:p>
            <w:pPr>
              <w:pStyle w:val="Compact"/>
            </w:pPr>
            <w:r>
              <w:t xml:space="preserve">Forensic remnant: the return is not restoration but verification</w:t>
            </w:r>
          </w:p>
        </w:tc>
      </w:tr>
      <w:tr>
        <w:tc>
          <w:tcPr/>
          <w:p>
            <w:pPr>
              <w:pStyle w:val="Compact"/>
            </w:pPr>
            <w:r>
              <w:t xml:space="preserve">29–30</w:t>
            </w:r>
          </w:p>
        </w:tc>
        <w:tc>
          <w:tcPr/>
          <w:p>
            <w:pPr>
              <w:pStyle w:val="Compact"/>
            </w:pPr>
            <w:r>
              <w:t xml:space="preserve">Sign given: Pharaoh Hophra will fall as evidence that the LORD’s word against Egypt’s Jewish remnant will stand</w:t>
            </w:r>
          </w:p>
        </w:tc>
        <w:tc>
          <w:tcPr/>
          <w:p>
            <w:pPr>
              <w:pStyle w:val="Compact"/>
            </w:pPr>
            <w:r>
              <w:t xml:space="preserve">A verifiable historical sign confirming the prophetic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Indictment: A History of Ignored Warning</w:t>
            </w:r>
          </w:p>
        </w:tc>
      </w:tr>
      <w:tr>
        <w:tc>
          <w:tcPr/>
          <w:p>
            <w:pPr>
              <w:pStyle w:val="Compact"/>
            </w:pPr>
            <w:r>
              <w:t xml:space="preserve">2</w:t>
            </w:r>
          </w:p>
        </w:tc>
        <w:tc>
          <w:tcPr/>
          <w:p>
            <w:pPr>
              <w:pStyle w:val="Compact"/>
            </w:pPr>
            <w:r>
              <w:t xml:space="preserve">7–10</w:t>
            </w:r>
          </w:p>
        </w:tc>
        <w:tc>
          <w:tcPr/>
          <w:p>
            <w:pPr>
              <w:pStyle w:val="Compact"/>
            </w:pPr>
            <w:r>
              <w:t xml:space="preserve">The Question: Why Continue What Destroyed You?</w:t>
            </w:r>
          </w:p>
        </w:tc>
      </w:tr>
      <w:tr>
        <w:tc>
          <w:tcPr/>
          <w:p>
            <w:pPr>
              <w:pStyle w:val="Compact"/>
            </w:pPr>
            <w:r>
              <w:t xml:space="preserve">3</w:t>
            </w:r>
          </w:p>
        </w:tc>
        <w:tc>
          <w:tcPr/>
          <w:p>
            <w:pPr>
              <w:pStyle w:val="Compact"/>
            </w:pPr>
            <w:r>
              <w:t xml:space="preserve">11–14</w:t>
            </w:r>
          </w:p>
        </w:tc>
        <w:tc>
          <w:tcPr/>
          <w:p>
            <w:pPr>
              <w:pStyle w:val="Compact"/>
            </w:pPr>
            <w:r>
              <w:t xml:space="preserve">The Sentence: Total Consumption in Egypt</w:t>
            </w:r>
          </w:p>
        </w:tc>
      </w:tr>
      <w:tr>
        <w:tc>
          <w:tcPr/>
          <w:p>
            <w:pPr>
              <w:pStyle w:val="Compact"/>
            </w:pPr>
            <w:r>
              <w:t xml:space="preserve">4</w:t>
            </w:r>
          </w:p>
        </w:tc>
        <w:tc>
          <w:tcPr/>
          <w:p>
            <w:pPr>
              <w:pStyle w:val="Compact"/>
            </w:pPr>
            <w:r>
              <w:t xml:space="preserve">15–19</w:t>
            </w:r>
          </w:p>
        </w:tc>
        <w:tc>
          <w:tcPr/>
          <w:p>
            <w:pPr>
              <w:pStyle w:val="Compact"/>
            </w:pPr>
            <w:r>
              <w:t xml:space="preserve">The Defense: Prosperity as Proof of Rightness</w:t>
            </w:r>
          </w:p>
        </w:tc>
      </w:tr>
      <w:tr>
        <w:tc>
          <w:tcPr/>
          <w:p>
            <w:pPr>
              <w:pStyle w:val="Compact"/>
            </w:pPr>
            <w:r>
              <w:t xml:space="preserve">5</w:t>
            </w:r>
          </w:p>
        </w:tc>
        <w:tc>
          <w:tcPr/>
          <w:p>
            <w:pPr>
              <w:pStyle w:val="Compact"/>
            </w:pPr>
            <w:r>
              <w:t xml:space="preserve">20–25</w:t>
            </w:r>
          </w:p>
        </w:tc>
        <w:tc>
          <w:tcPr/>
          <w:p>
            <w:pPr>
              <w:pStyle w:val="Compact"/>
            </w:pPr>
            <w:r>
              <w:t xml:space="preserve">The Rebuttal: God’s Word Against Their Experience</w:t>
            </w:r>
          </w:p>
        </w:tc>
      </w:tr>
      <w:tr>
        <w:tc>
          <w:tcPr/>
          <w:p>
            <w:pPr>
              <w:pStyle w:val="Compact"/>
            </w:pPr>
            <w:r>
              <w:t xml:space="preserve">6</w:t>
            </w:r>
          </w:p>
        </w:tc>
        <w:tc>
          <w:tcPr/>
          <w:p>
            <w:pPr>
              <w:pStyle w:val="Compact"/>
            </w:pPr>
            <w:r>
              <w:t xml:space="preserve">26–30</w:t>
            </w:r>
          </w:p>
        </w:tc>
        <w:tc>
          <w:tcPr/>
          <w:p>
            <w:pPr>
              <w:pStyle w:val="Compact"/>
            </w:pPr>
            <w:r>
              <w:t xml:space="preserve">The Oath and the Sign: The Door Closes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Final reckoning — Judah’s remnant in Egypt chooses idolatry over the LORD and is given over to the consequences.</w:t>
      </w:r>
    </w:p>
    <w:p>
      <w:pPr>
        <w:pStyle w:val="BodyText"/>
      </w:pPr>
      <w:r>
        <w:rPr>
          <w:b/>
          <w:bCs/>
        </w:rPr>
        <w:t xml:space="preserve">Primary Claim:</w:t>
      </w:r>
      <w:r>
        <w:t xml:space="preserve"> </w:t>
      </w:r>
      <w:r>
        <w:t xml:space="preserve">God will not share His people with rivals indefinitely — those who persistently invert blessing and judgment to protect their idols will eventually be handed over to the very destruction they have tried to evade, and no rationalization will survive the verdict.</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the theology you have built around your experience.</w:t>
      </w:r>
      <w:r>
        <w:t xml:space="preserve"> </w:t>
      </w:r>
      <w:r>
        <w:rPr>
          <w:i/>
          <w:iCs/>
        </w:rPr>
        <w:t xml:space="preserve">(Mind/belief)</w:t>
      </w:r>
      <w:r>
        <w:t xml:space="preserve"> </w:t>
      </w:r>
      <w:r>
        <w:t xml:space="preserve">The women of Egypt had a coherent story: worship brought blessing; stopping worship brought suffering. Their story was internally consistent and experientially grounded — and it was completely wrong. Every one of us is capable of constructing a narrative around our experiences that protects our idols and indicts our faithfulness. The corrective Jeremiah offers is not</w:t>
      </w:r>
      <w:r>
        <w:t xml:space="preserve"> </w:t>
      </w:r>
      <w:r>
        <w:t xml:space="preserve">“your experience is wrong”</w:t>
      </w:r>
      <w:r>
        <w:t xml:space="preserve"> </w:t>
      </w:r>
      <w:r>
        <w:t xml:space="preserve">but</w:t>
      </w:r>
      <w:r>
        <w:t xml:space="preserve"> </w:t>
      </w:r>
      <w:r>
        <w:t xml:space="preserve">“God’s revealed word is the authoritative interpreter of your experience — not the other way around.”</w:t>
      </w:r>
      <w:r>
        <w:t xml:space="preserve"> </w:t>
      </w:r>
      <w:r>
        <w:t xml:space="preserve">Ask honestly: where have you built your theology from results, and where does that theology conveniently protect something you do not want to surrender?</w:t>
      </w:r>
    </w:p>
    <w:p>
      <w:pPr>
        <w:pStyle w:val="BodyText"/>
      </w:pPr>
      <w:r>
        <w:rPr>
          <w:b/>
          <w:bCs/>
        </w:rPr>
        <w:t xml:space="preserve">2. Reckon with the comprehensiveness of what you know and still ignore.</w:t>
      </w:r>
      <w:r>
        <w:t xml:space="preserve"> </w:t>
      </w:r>
      <w:r>
        <w:rPr>
          <w:i/>
          <w:iCs/>
        </w:rPr>
        <w:t xml:space="preserve">(Mind/belief)</w:t>
      </w:r>
      <w:r>
        <w:t xml:space="preserve"> </w:t>
      </w:r>
      <w:r>
        <w:t xml:space="preserve">The people of Egypt had seen Jerusalem fall. They had watched the cities of Judah emptied. They had heard Jeremiah. They were not ignorant — they were willfully unresponsive, which is the more dangerous condition. The passage forces the reader to ask not</w:t>
      </w:r>
      <w:r>
        <w:t xml:space="preserve"> </w:t>
      </w:r>
      <w:r>
        <w:t xml:space="preserve">“do I know what God requires?”</w:t>
      </w:r>
      <w:r>
        <w:t xml:space="preserve"> </w:t>
      </w:r>
      <w:r>
        <w:t xml:space="preserve">but</w:t>
      </w:r>
      <w:r>
        <w:t xml:space="preserve"> </w:t>
      </w:r>
      <w:r>
        <w:t xml:space="preserve">“what do I do with what I already know?”</w:t>
      </w:r>
      <w:r>
        <w:t xml:space="preserve"> </w:t>
      </w:r>
      <w:r>
        <w:t xml:space="preserve">The people of Egypt failed not at the level of information but at the level of response to information. Examine where you have knowledge of God’s word that is sitting unacted upon, and understand that continued inaction in the face of knowledge is itself a form of hardening.</w:t>
      </w:r>
    </w:p>
    <w:p>
      <w:pPr>
        <w:pStyle w:val="BodyText"/>
      </w:pPr>
      <w:r>
        <w:rPr>
          <w:b/>
          <w:bCs/>
        </w:rPr>
        <w:t xml:space="preserve">3. Grieve the idols you have romanticized.</w:t>
      </w:r>
      <w:r>
        <w:t xml:space="preserve"> </w:t>
      </w:r>
      <w:r>
        <w:rPr>
          <w:i/>
          <w:iCs/>
        </w:rPr>
        <w:t xml:space="preserve">(Affections/worship)</w:t>
      </w:r>
      <w:r>
        <w:t xml:space="preserve"> </w:t>
      </w:r>
      <w:r>
        <w:t xml:space="preserve">The Queen of Heaven worship was not cold pragmatism for these women — it was beloved, personal, woven into the fabric of domestic life. They made cakes; they poured libations; they treated this goddess with the kind of intimate, regular devotion that ought to have gone to the LORD. Their grief at</w:t>
      </w:r>
      <w:r>
        <w:t xml:space="preserve"> </w:t>
      </w:r>
      <w:r>
        <w:t xml:space="preserve">“stopping”</w:t>
      </w:r>
      <w:r>
        <w:t xml:space="preserve"> </w:t>
      </w:r>
      <w:r>
        <w:t xml:space="preserve">was real grief, because the idol had occupied the place of genuine affection. The application is not merely to identify intellectual idols but to ask what you love in the place of God — what you would genuinely mourn surrendering — because that is the territory where idolatry lives. Bring that grief to God as a confession, not just the behavior as an admission.</w:t>
      </w:r>
    </w:p>
    <w:p>
      <w:pPr>
        <w:pStyle w:val="BodyText"/>
      </w:pPr>
      <w:r>
        <w:rPr>
          <w:b/>
          <w:bCs/>
        </w:rPr>
        <w:t xml:space="preserve">4. Do not wait for the door to close before returning.</w:t>
      </w:r>
      <w:r>
        <w:t xml:space="preserve"> </w:t>
      </w:r>
      <w:r>
        <w:rPr>
          <w:i/>
          <w:iCs/>
        </w:rPr>
        <w:t xml:space="preserve">(Will/behavior)</w:t>
      </w:r>
      <w:r>
        <w:t xml:space="preserve"> </w:t>
      </w:r>
      <w:r>
        <w:t xml:space="preserve">The most chilling feature of Jeremiah 44 is its finality. The LORD swears by His great name; the remnant in Egypt will be consumed; His name will not be on their lips again. This is a passage about a closed door — mercy persistently offered and persistently refused until the offer is withdrawn. The chapter is therefore a call to the reader</w:t>
      </w:r>
      <w:r>
        <w:t xml:space="preserve"> </w:t>
      </w:r>
      <w:r>
        <w:rPr>
          <w:i/>
          <w:iCs/>
        </w:rPr>
        <w:t xml:space="preserve">before</w:t>
      </w:r>
      <w:r>
        <w:t xml:space="preserve"> </w:t>
      </w:r>
      <w:r>
        <w:t xml:space="preserve">that finality arrives. The people of Egypt had warning after warning (v. 4:</w:t>
      </w:r>
      <w:r>
        <w:t xml:space="preserve"> </w:t>
      </w:r>
      <w:r>
        <w:t xml:space="preserve">“I persistently sent”</w:t>
      </w:r>
      <w:r>
        <w:t xml:space="preserve">), and the final warning is now the final judgment. If you are reading this passage, you are still on the near side of that door. Do not treat persistent mercy as evidence that the door will never close — treat it as the ground for returning now.</w:t>
      </w:r>
    </w:p>
    <w:p>
      <w:pPr>
        <w:pStyle w:val="BodyText"/>
      </w:pPr>
      <w:r>
        <w:rPr>
          <w:b/>
          <w:bCs/>
        </w:rPr>
        <w:t xml:space="preserve">5. Refuse every rationalization that makes continued sin feel safe.</w:t>
      </w:r>
      <w:r>
        <w:t xml:space="preserve"> </w:t>
      </w:r>
      <w:r>
        <w:rPr>
          <w:i/>
          <w:iCs/>
        </w:rPr>
        <w:t xml:space="preserve">(Will/behavior)</w:t>
      </w:r>
      <w:r>
        <w:t xml:space="preserve"> </w:t>
      </w:r>
      <w:r>
        <w:t xml:space="preserve">The people in Egypt were not merely sinning — they had a rationale, a defense, a theology that made their sin feel not just permissible but vindicated. The most dangerous form of idolatry is not the kind that knows itself to be wrong but the kind that has constructed a case for itself. Jeremiah’s rebuttal in verses 20–23 does not engage their argument on its own terms — he goes back to the LORD’s declared word and says:</w:t>
      </w:r>
      <w:r>
        <w:t xml:space="preserve"> </w:t>
      </w:r>
      <w:r>
        <w:rPr>
          <w:i/>
          <w:iCs/>
        </w:rPr>
        <w:t xml:space="preserve">that</w:t>
      </w:r>
      <w:r>
        <w:t xml:space="preserve"> </w:t>
      </w:r>
      <w:r>
        <w:t xml:space="preserve">is the authoritative account of what happened, not yours. Identify the rationalizations you have constructed around your own persistent patterns of sin, and bring them to God’s word rather than to your own reading of your experience.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44 teaches with unusual clarity that God takes seriously both the persistence of His warning and the persistence of human refusal — and that His patience, though long, is not infinite. The passage displays a God who has been engaged in relationship with His people for centuries, who has sent prophet after prophet, who has allowed the evidence of judgment to accumulate — and who, when the final refusal comes, acts decisively and comprehensively. This is a passage about divine jealousy in its most solemn register: the LORD will not be crowded out of His people’s affections by a goddess of fertility and abundance. Equally important is what the passage reveals about human nature: the people of Egypt demonstrate that the fallen heart is capable of total epistemic inversion — of looking at the ruins of Jerusalem and concluding that the problem was too little idolatry. The theological weight of the chapter forces the reader to take seriously both the holiness of God who will not tolerate rivals and the depth of human self-deception that requires something more radical than information to correct.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44 is a canonical exhibit of what Reformed theology calls judicial hardening — the pattern, articulated most systematically by Paul in Romans 1:18–32, of God giving over those who suppress His truth to the very idolatry that destroys them. The people of Egypt are not victims of bad information or insufficient preaching; they have been given every opportunity and have refused every one. Their condition by chapter 44 is the fruit of long-cultivated unbelief ripening into judicial abandonment. This is simultaneously a warning and a diagnostic: it shows that the problem of persistent idolatry is not resolved by more preaching but by the regenerating work of God — which is precisely why, in the same book, Jeremiah 31 announces a new covenant where the law is written on the heart by God Himself rather than engraved on tablets. The gospel answer to Jeremiah 44 is not</w:t>
      </w:r>
      <w:r>
        <w:t xml:space="preserve"> </w:t>
      </w:r>
      <w:r>
        <w:t xml:space="preserve">“try harder to obey”</w:t>
      </w:r>
      <w:r>
        <w:t xml:space="preserve"> </w:t>
      </w:r>
      <w:r>
        <w:t xml:space="preserve">but</w:t>
      </w:r>
      <w:r>
        <w:t xml:space="preserve"> </w:t>
      </w:r>
      <w:r>
        <w:t xml:space="preserve">“receive the new heart that enables obedience”</w:t>
      </w:r>
      <w:r>
        <w:t xml:space="preserve"> </w:t>
      </w:r>
      <w:r>
        <w:t xml:space="preserve">— a work of grace that the people of Egypt refused to cry out for, and that the new covenant community receives through faith in Christ, the mediator of the better covenant (Hebrews 8:6).</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people of Egypt looked at the ruins of everything God had warned them about, concluded that the warnings were wrong, and walked straight into the judgment they were trying to avoid. Their rationalizations were sophisticated; their conviction was total; their end was sealed. God’s word stood — theirs did not. The call of this chapter is not primarily to</w:t>
      </w:r>
      <w:r>
        <w:t xml:space="preserve"> </w:t>
      </w:r>
      <w:r>
        <w:t xml:space="preserve">“do better”</w:t>
      </w:r>
      <w:r>
        <w:t xml:space="preserve"> </w:t>
      </w:r>
      <w:r>
        <w:t xml:space="preserve">but to stop building theology around your preferred outcomes and bring every rationalization before the revealed word of God while the door is still open — because it will not always be.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women’s speech to mere foolishness.</w:t>
      </w:r>
      <w:r>
        <w:t xml:space="preserve"> </w:t>
      </w:r>
      <w:r>
        <w:t xml:space="preserve">The most common homiletical failure with verses 15–19 is to treat the women’s argument as obviously wrong and move on. The passage is far more disturbing than that. Their argument is internally coherent — it has the structure of genuine theological reasoning, just with the wrong epistemic foundation. Preachers who dismiss it too quickly deprive the congregation of the most searching feature of the chapter: that people can build an airtight case for their idolatry from genuine experience and be entirely wrong. Take their argument seriously before refuting it — the congregation’s own rationalizations will be equally coherent.</w:t>
      </w:r>
    </w:p>
    <w:p>
      <w:pPr>
        <w:numPr>
          <w:ilvl w:val="0"/>
          <w:numId w:val="1002"/>
        </w:numPr>
      </w:pPr>
      <w:r>
        <w:rPr>
          <w:b/>
          <w:bCs/>
        </w:rPr>
        <w:t xml:space="preserve">Treating this as primarily a passage about ancient Israel’s failure rather than a mirror.</w:t>
      </w:r>
      <w:r>
        <w:t xml:space="preserve"> </w:t>
      </w:r>
      <w:r>
        <w:t xml:space="preserve">The natural distance of the historical setting encourages listeners to hear this as a report on someone else’s catastrophe. The preacher’s job is to collapse that distance by showing that the structure of the people’s failure — experienced blessing rationalized as vindication of idolatry — is precisely the structure of contemporary prosperity-adjacent spirituality, therapeutic religion, and results-based faith. The chapter is a mirror, not a museum exhibit.</w:t>
      </w:r>
    </w:p>
    <w:p>
      <w:pPr>
        <w:numPr>
          <w:ilvl w:val="0"/>
          <w:numId w:val="1002"/>
        </w:numPr>
      </w:pPr>
      <w:r>
        <w:rPr>
          <w:b/>
          <w:bCs/>
        </w:rPr>
        <w:t xml:space="preserve">Missing the epistemic dimension of the confrontation.</w:t>
      </w:r>
      <w:r>
        <w:t xml:space="preserve"> </w:t>
      </w:r>
      <w:r>
        <w:t xml:space="preserve">Jeremiah 44 is not finally about whether the Queen of Heaven is real or whether burning incense is superstitious. It is about which authority governs interpretation of experience: the LORD’s declared word or the reader’s own experiential narrative. Preachers who frame the rebuttal as</w:t>
      </w:r>
      <w:r>
        <w:t xml:space="preserve"> </w:t>
      </w:r>
      <w:r>
        <w:t xml:space="preserve">“their results were actually wrong”</w:t>
      </w:r>
      <w:r>
        <w:t xml:space="preserve"> </w:t>
      </w:r>
      <w:r>
        <w:t xml:space="preserve">miss this. Jeremiah’s rebuttal is</w:t>
      </w:r>
      <w:r>
        <w:t xml:space="preserve"> </w:t>
      </w:r>
      <w:r>
        <w:t xml:space="preserve">“the LORD has declared the cause — His word stands over your reading of your experience.”</w:t>
      </w:r>
      <w:r>
        <w:t xml:space="preserve"> </w:t>
      </w:r>
      <w:r>
        <w:t xml:space="preserve">The contemporary application is about the authority of Scripture over personal testimony, not the superiority of Jeremiah’s historical analysis.</w:t>
      </w:r>
    </w:p>
    <w:p>
      <w:pPr>
        <w:numPr>
          <w:ilvl w:val="0"/>
          <w:numId w:val="1002"/>
        </w:numPr>
      </w:pPr>
      <w:r>
        <w:rPr>
          <w:b/>
          <w:bCs/>
        </w:rPr>
        <w:t xml:space="preserve">Preaching the finality of the judgment without adequately addressing the reader’s own present opportunity.</w:t>
      </w:r>
      <w:r>
        <w:t xml:space="preserve"> </w:t>
      </w:r>
      <w:r>
        <w:t xml:space="preserve">The passage describes a closed door. Preachers can leave congregations feeling either that the door has already closed for them (pastoral error — producing despair) or that the door never closes (theological error — producing presumption). The correct homiletical move is to use the finality of Egypt’s judgment as the very ground for urgency in the present: the door</w:t>
      </w:r>
      <w:r>
        <w:t xml:space="preserve"> </w:t>
      </w:r>
      <w:r>
        <w:rPr>
          <w:i/>
          <w:iCs/>
        </w:rPr>
        <w:t xml:space="preserve">does</w:t>
      </w:r>
      <w:r>
        <w:t xml:space="preserve"> </w:t>
      </w:r>
      <w:r>
        <w:t xml:space="preserve">close; it has not closed yet for you; return now.</w:t>
      </w:r>
    </w:p>
    <w:p>
      <w:pPr>
        <w:numPr>
          <w:ilvl w:val="0"/>
          <w:numId w:val="1002"/>
        </w:numPr>
      </w:pPr>
      <w:r>
        <w:rPr>
          <w:b/>
          <w:bCs/>
        </w:rPr>
        <w:t xml:space="preserve">Extracting verse 28 (</w:t>
      </w:r>
      <w:r>
        <w:rPr>
          <w:b/>
          <w:bCs/>
        </w:rPr>
        <w:t xml:space="preserve">“they will know whose word will stand”</w:t>
      </w:r>
      <w:r>
        <w:rPr>
          <w:b/>
          <w:bCs/>
        </w:rPr>
        <w:t xml:space="preserve">) as a general promise of God’s faithfulness without the contextual weight.</w:t>
      </w:r>
      <w:r>
        <w:t xml:space="preserve"> </w:t>
      </w:r>
      <w:r>
        <w:t xml:space="preserve">This phrase, while genuinely expressing God’s sovereignty over His word, functions in this context as a forensic verdict, not a pastoral comfort. The remnant who</w:t>
      </w:r>
      <w:r>
        <w:t xml:space="preserve"> </w:t>
      </w:r>
      <w:r>
        <w:t xml:space="preserve">“knows”</w:t>
      </w:r>
      <w:r>
        <w:t xml:space="preserve"> </w:t>
      </w:r>
      <w:r>
        <w:t xml:space="preserve">that God’s word stood will know it as people who survived judgment, not as people who received restoration. Extracting the phrase as a general promise of divine reliability is not wrong in itself, but it evacuates the specific force of the context — which is that the knowledge of God’s faithfulness can arrive as judgment rather than as blessing.</w:t>
      </w:r>
    </w:p>
    <w:p>
      <w:pPr>
        <w:numPr>
          <w:ilvl w:val="0"/>
          <w:numId w:val="1002"/>
        </w:numPr>
      </w:pPr>
      <w:r>
        <w:rPr>
          <w:b/>
          <w:bCs/>
        </w:rPr>
        <w:t xml:space="preserve">Failing to connect the chapter’s diagnosis to the new covenant answer in Jeremiah 31.</w:t>
      </w:r>
      <w:r>
        <w:t xml:space="preserve"> </w:t>
      </w:r>
      <w:r>
        <w:t xml:space="preserve">Preaching Jeremiah 44 without at least gesturing toward the gospel answer risks leaving the congregation with a heavy law and no grace — an accurate diagnosis with no cure. The same prophet who pronounces the final verdict on Egypt’s remnant is the prophet who announces the new covenant of the forgiven heart. The preacher should honor the weight of the judgment while showing that God’s final answer to human incapacity for covenant faithfulness is not more warning but a new heart — and that new heart is secured in Christ, the mediator of that covenant.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2026-07-14T21:06:09Z</dcterms:created>
  <dcterms:modified xsi:type="dcterms:W3CDTF">2026-07-14T21:06:09Z</dcterms:modified>
</cp:coreProperties>
</file>

<file path=docProps/custom.xml><?xml version="1.0" encoding="utf-8"?>
<Properties xmlns="http://schemas.openxmlformats.org/officeDocument/2006/custom-properties" xmlns:vt="http://schemas.openxmlformats.org/officeDocument/2006/docPropsVTypes"/>
</file>